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A18C" w14:textId="77777777" w:rsidR="005376ED" w:rsidRPr="00D0187B" w:rsidRDefault="00F24B49" w:rsidP="00D0187B">
      <w:pPr>
        <w:spacing w:after="0"/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Letter of Commitment </w:t>
      </w:r>
      <w:r>
        <w:rPr>
          <w:b/>
          <w:sz w:val="24"/>
          <w:u w:val="single"/>
        </w:rPr>
        <w:t>for Payment Capability</w:t>
      </w:r>
    </w:p>
    <w:p w14:paraId="344B5C57" w14:textId="77777777" w:rsidR="007C21B3" w:rsidRDefault="007C21B3" w:rsidP="007C21B3">
      <w:pPr>
        <w:spacing w:after="0"/>
      </w:pPr>
    </w:p>
    <w:p w14:paraId="4A223F56" w14:textId="77777777" w:rsidR="007C21B3" w:rsidRDefault="00F24B49" w:rsidP="00A73708">
      <w:pPr>
        <w:spacing w:after="0" w:line="276" w:lineRule="auto"/>
      </w:pPr>
      <w:r>
        <w:rPr>
          <w:rFonts w:hint="eastAsia"/>
        </w:rPr>
        <w:t xml:space="preserve">To: Yuanta Securities </w:t>
      </w:r>
      <w:r>
        <w:t>Korea Co., Ltd.</w:t>
      </w:r>
    </w:p>
    <w:p w14:paraId="1EE495E5" w14:textId="77777777" w:rsidR="007C21B3" w:rsidRDefault="007C21B3" w:rsidP="00A73708">
      <w:pPr>
        <w:spacing w:after="0" w:line="276" w:lineRule="auto"/>
      </w:pPr>
    </w:p>
    <w:p w14:paraId="425728E4" w14:textId="4E411D6C" w:rsidR="007C21B3" w:rsidRDefault="00420950" w:rsidP="00A73708">
      <w:pPr>
        <w:spacing w:after="0" w:line="276" w:lineRule="auto"/>
      </w:pPr>
      <w:r>
        <w:t>This is to confirm that, i</w:t>
      </w:r>
      <w:r w:rsidR="00A60399" w:rsidRPr="00A60399">
        <w:t xml:space="preserve">n regards to participating in the book-building for the public offering of </w:t>
      </w:r>
      <w:r w:rsidR="009017C5">
        <w:t>Yuanta 1</w:t>
      </w:r>
      <w:r w:rsidR="00F21AA9">
        <w:t>6</w:t>
      </w:r>
      <w:r w:rsidR="009017C5">
        <w:t xml:space="preserve"> SPECIAL PURPOSE ACQUISITION COMPANY (Yuanta </w:t>
      </w:r>
      <w:r w:rsidR="009017C5">
        <w:rPr>
          <w:rFonts w:hint="eastAsia"/>
        </w:rPr>
        <w:t>S</w:t>
      </w:r>
      <w:r w:rsidR="009017C5">
        <w:t>PAC 1</w:t>
      </w:r>
      <w:r w:rsidR="00F21AA9">
        <w:t>6</w:t>
      </w:r>
      <w:r w:rsidR="009017C5">
        <w:t>)</w:t>
      </w:r>
      <w:r w:rsidR="009F2C5B">
        <w:t xml:space="preserve"> our company is an institutional investor pursuant to Subparagraph 8 of [§2] of the</w:t>
      </w:r>
      <w:r w:rsidR="009F2C5B" w:rsidRPr="009F2C5B">
        <w:rPr>
          <w:rFonts w:eastAsiaTheme="minorHAnsi" w:hint="eastAsia"/>
        </w:rPr>
        <w:t xml:space="preserve"> </w:t>
      </w:r>
      <w:r w:rsidR="009F2C5B">
        <w:rPr>
          <w:rFonts w:eastAsiaTheme="minorHAnsi" w:hint="eastAsia"/>
        </w:rPr>
        <w:t>Regulations on Securities Underwriting Business, Etc.</w:t>
      </w:r>
      <w:r w:rsidR="009F2C5B">
        <w:rPr>
          <w:rFonts w:asciiTheme="minorEastAsia" w:hAnsiTheme="minorEastAsia" w:hint="eastAsia"/>
        </w:rPr>
        <w:t xml:space="preserve"> (hereinafter referred to as </w:t>
      </w:r>
      <w:r w:rsidR="009F2C5B">
        <w:rPr>
          <w:rFonts w:asciiTheme="minorEastAsia" w:hAnsiTheme="minorEastAsia"/>
        </w:rPr>
        <w:t xml:space="preserve">“the regulation”) during the period from the participation in book-building to allotment of publicly offered stocks, and </w:t>
      </w:r>
      <w:r>
        <w:t xml:space="preserve">our company does not fall under </w:t>
      </w:r>
      <w:r w:rsidR="003300B7">
        <w:t>any of the companies under [§9(</w:t>
      </w:r>
      <w:r w:rsidR="00D74655">
        <w:t>4</w:t>
      </w:r>
      <w:r w:rsidR="003300B7">
        <w:t>)</w:t>
      </w:r>
      <w:r w:rsidR="00D74655">
        <w:t>] of the</w:t>
      </w:r>
      <w:r w:rsidR="00D74655" w:rsidRPr="00D74655">
        <w:rPr>
          <w:rFonts w:eastAsiaTheme="minorHAnsi" w:hint="eastAsia"/>
        </w:rPr>
        <w:t xml:space="preserve"> </w:t>
      </w:r>
      <w:r w:rsidR="009F2C5B">
        <w:rPr>
          <w:rFonts w:eastAsiaTheme="minorHAnsi"/>
        </w:rPr>
        <w:t xml:space="preserve">regulation </w:t>
      </w:r>
      <w:r w:rsidR="00D74655">
        <w:rPr>
          <w:rFonts w:asciiTheme="minorEastAsia" w:hAnsiTheme="minorEastAsia"/>
        </w:rPr>
        <w:t xml:space="preserve">and companies </w:t>
      </w:r>
      <w:r w:rsidR="00D74655">
        <w:t>that are</w:t>
      </w:r>
      <w:r w:rsidR="0046516D">
        <w:t xml:space="preserve"> prohibited from participating in the book-building, etc. for an IPO and allotment of publicly offered stocks, having been designated as an unfaithful participant in the book-building, etc. pursuant to</w:t>
      </w:r>
      <w:r w:rsidR="0084248A">
        <w:t xml:space="preserve"> [§17-2(4)]</w:t>
      </w:r>
      <w:r w:rsidR="0046516D">
        <w:t xml:space="preserve"> </w:t>
      </w:r>
      <w:r w:rsidR="0084248A">
        <w:t>of the</w:t>
      </w:r>
      <w:r w:rsidR="00D74655">
        <w:t xml:space="preserve"> regulation. </w:t>
      </w:r>
      <w:r w:rsidR="009F2C5B">
        <w:t>We</w:t>
      </w:r>
      <w:r w:rsidR="009525E6">
        <w:t xml:space="preserve"> will </w:t>
      </w:r>
      <w:r w:rsidR="008D2FF3">
        <w:t xml:space="preserve">not exceed the </w:t>
      </w:r>
      <w:r w:rsidR="00694442">
        <w:t xml:space="preserve">following </w:t>
      </w:r>
      <w:r w:rsidR="008D2FF3">
        <w:t>payment capability when participating in the book-building</w:t>
      </w:r>
      <w:r w:rsidR="008D2FF3" w:rsidRPr="008D2FF3">
        <w:t xml:space="preserve"> </w:t>
      </w:r>
      <w:r w:rsidR="008D2FF3">
        <w:t>in accordance with [§5-3(4)] of</w:t>
      </w:r>
      <w:bookmarkStart w:id="0" w:name="_GoBack"/>
      <w:bookmarkEnd w:id="0"/>
      <w:r w:rsidR="008D2FF3">
        <w:t xml:space="preserve"> the regulation.</w:t>
      </w:r>
    </w:p>
    <w:p w14:paraId="24C87D3C" w14:textId="77777777" w:rsidR="00B81796" w:rsidRDefault="00B81796" w:rsidP="00FA013A">
      <w:pPr>
        <w:spacing w:after="0" w:line="276" w:lineRule="auto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81796" w14:paraId="7743EC95" w14:textId="77777777" w:rsidTr="00C14D15">
        <w:tc>
          <w:tcPr>
            <w:tcW w:w="4817" w:type="dxa"/>
            <w:shd w:val="clear" w:color="auto" w:fill="DEEAF6" w:themeFill="accent1" w:themeFillTint="33"/>
          </w:tcPr>
          <w:p w14:paraId="3A79286F" w14:textId="77777777" w:rsidR="004D22D5" w:rsidRDefault="004D22D5" w:rsidP="004D22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Type of Participant</w:t>
            </w:r>
          </w:p>
          <w:p w14:paraId="551108A8" w14:textId="77777777" w:rsidR="00B81796" w:rsidRPr="00B81796" w:rsidRDefault="004D22D5" w:rsidP="004D22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A013A">
              <w:rPr>
                <w:rFonts w:hint="eastAsia"/>
                <w:b/>
              </w:rPr>
              <w:t>P</w:t>
            </w:r>
            <w:r>
              <w:rPr>
                <w:rFonts w:hint="eastAsia"/>
                <w:b/>
              </w:rPr>
              <w:t>roprietary P</w:t>
            </w:r>
            <w:r w:rsidR="00FA013A">
              <w:rPr>
                <w:rFonts w:hint="eastAsia"/>
                <w:b/>
              </w:rPr>
              <w:t>roperty</w:t>
            </w:r>
            <w:r>
              <w:rPr>
                <w:b/>
              </w:rPr>
              <w:t>/Entrusted Fund)</w:t>
            </w:r>
          </w:p>
        </w:tc>
        <w:tc>
          <w:tcPr>
            <w:tcW w:w="4817" w:type="dxa"/>
            <w:shd w:val="clear" w:color="auto" w:fill="DEEAF6" w:themeFill="accent1" w:themeFillTint="33"/>
          </w:tcPr>
          <w:p w14:paraId="0986092C" w14:textId="77777777" w:rsidR="004D22D5" w:rsidRDefault="004D22D5" w:rsidP="004D22D5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Amount of Payment Capability</w:t>
            </w:r>
          </w:p>
          <w:p w14:paraId="761AA54A" w14:textId="77777777" w:rsidR="00B81796" w:rsidRPr="00B81796" w:rsidRDefault="001625C4" w:rsidP="001625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(KRW</w:t>
            </w:r>
            <w:r w:rsidR="00ED34B8">
              <w:rPr>
                <w:rFonts w:hint="eastAsia"/>
                <w:b/>
              </w:rPr>
              <w:t>)</w:t>
            </w:r>
          </w:p>
        </w:tc>
      </w:tr>
      <w:tr w:rsidR="00B81796" w14:paraId="4890797C" w14:textId="77777777" w:rsidTr="00C14D15">
        <w:tc>
          <w:tcPr>
            <w:tcW w:w="4817" w:type="dxa"/>
            <w:shd w:val="clear" w:color="auto" w:fill="FBE4D5" w:themeFill="accent2" w:themeFillTint="33"/>
          </w:tcPr>
          <w:p w14:paraId="03D81521" w14:textId="77777777" w:rsidR="00B81796" w:rsidRDefault="00B81796" w:rsidP="00955AA1">
            <w:pPr>
              <w:spacing w:line="276" w:lineRule="auto"/>
              <w:jc w:val="center"/>
            </w:pPr>
          </w:p>
        </w:tc>
        <w:tc>
          <w:tcPr>
            <w:tcW w:w="4817" w:type="dxa"/>
            <w:shd w:val="clear" w:color="auto" w:fill="FBE4D5" w:themeFill="accent2" w:themeFillTint="33"/>
          </w:tcPr>
          <w:p w14:paraId="13AF565A" w14:textId="77777777" w:rsidR="00B81796" w:rsidRPr="00ED34B8" w:rsidRDefault="00B81796" w:rsidP="00955AA1">
            <w:pPr>
              <w:spacing w:line="276" w:lineRule="auto"/>
              <w:jc w:val="center"/>
            </w:pPr>
          </w:p>
        </w:tc>
      </w:tr>
      <w:tr w:rsidR="00ED34B8" w14:paraId="5E33BA9C" w14:textId="77777777" w:rsidTr="00C14D15">
        <w:tc>
          <w:tcPr>
            <w:tcW w:w="9634" w:type="dxa"/>
            <w:gridSpan w:val="2"/>
          </w:tcPr>
          <w:p w14:paraId="69916C20" w14:textId="77777777" w:rsidR="00ED34B8" w:rsidRPr="00EC042B" w:rsidRDefault="00ED34B8" w:rsidP="00A73708">
            <w:pPr>
              <w:spacing w:line="276" w:lineRule="auto"/>
              <w:rPr>
                <w:vertAlign w:val="superscript"/>
              </w:rPr>
            </w:pPr>
            <w:r>
              <w:rPr>
                <w:rFonts w:hint="eastAsia"/>
              </w:rPr>
              <w:t xml:space="preserve">(1) </w:t>
            </w:r>
            <w:r w:rsidR="00E21BA8">
              <w:t>The payment capability</w:t>
            </w:r>
            <w:r w:rsidR="00C76264">
              <w:t xml:space="preserve"> amount</w:t>
            </w:r>
            <w:r w:rsidR="00E21BA8">
              <w:t xml:space="preserve"> of a proprietary property:</w:t>
            </w:r>
            <w:r>
              <w:t xml:space="preserve"> </w:t>
            </w:r>
            <w:r w:rsidR="00E21BA8">
              <w:t>Equity capital</w:t>
            </w:r>
            <w:r w:rsidR="00EC042B">
              <w:rPr>
                <w:rFonts w:hint="eastAsia"/>
                <w:vertAlign w:val="superscript"/>
              </w:rPr>
              <w:t>(*)</w:t>
            </w:r>
          </w:p>
          <w:p w14:paraId="0AEDFEEA" w14:textId="77777777" w:rsidR="00ED34B8" w:rsidRDefault="00EC042B" w:rsidP="00A73708">
            <w:pPr>
              <w:spacing w:line="276" w:lineRule="auto"/>
            </w:pPr>
            <w:r>
              <w:rPr>
                <w:rFonts w:hint="eastAsia"/>
              </w:rPr>
              <w:t xml:space="preserve">* </w:t>
            </w:r>
            <w:r w:rsidR="00E21BA8">
              <w:t>The amount stated in the quarterly non-consolidated financial statements</w:t>
            </w:r>
            <w:r w:rsidR="00090379">
              <w:t xml:space="preserve"> </w:t>
            </w:r>
            <w:r w:rsidR="00E21BA8">
              <w:t>of the immediately preceding quarter</w:t>
            </w:r>
            <w:r w:rsidR="00C76264">
              <w:t xml:space="preserve"> (or the statements of the previous quarter of the preceding one if the preceding quarter’s statement is unavailable)</w:t>
            </w:r>
          </w:p>
          <w:p w14:paraId="67591113" w14:textId="77777777" w:rsidR="00ED34B8" w:rsidRPr="00EC042B" w:rsidRDefault="00EC042B" w:rsidP="00A73708">
            <w:pPr>
              <w:spacing w:line="276" w:lineRule="auto"/>
              <w:rPr>
                <w:vertAlign w:val="superscript"/>
              </w:rPr>
            </w:pPr>
            <w:r>
              <w:rPr>
                <w:rFonts w:hint="eastAsia"/>
              </w:rPr>
              <w:t>(2)</w:t>
            </w:r>
            <w:r w:rsidR="00E21BA8">
              <w:t xml:space="preserve"> The </w:t>
            </w:r>
            <w:r w:rsidR="0077294E">
              <w:t xml:space="preserve">payment capability </w:t>
            </w:r>
            <w:r w:rsidR="00C76264">
              <w:t xml:space="preserve">amount </w:t>
            </w:r>
            <w:r w:rsidR="0077294E">
              <w:t>of an entrusted fund:</w:t>
            </w:r>
            <w:r>
              <w:t xml:space="preserve"> </w:t>
            </w:r>
            <w:r w:rsidR="00C76264">
              <w:t>The total sum of each entrusted funds used for each book-building</w:t>
            </w:r>
            <w:r>
              <w:rPr>
                <w:rFonts w:hint="eastAsia"/>
                <w:vertAlign w:val="superscript"/>
              </w:rPr>
              <w:t>(</w:t>
            </w:r>
            <w:r>
              <w:rPr>
                <w:vertAlign w:val="superscript"/>
              </w:rPr>
              <w:t>*)</w:t>
            </w:r>
          </w:p>
          <w:p w14:paraId="5EF0FD56" w14:textId="77777777" w:rsidR="00EC042B" w:rsidRDefault="007E722B" w:rsidP="00C76264">
            <w:pPr>
              <w:spacing w:line="276" w:lineRule="auto"/>
              <w:ind w:left="32" w:hangingChars="16" w:hanging="32"/>
            </w:pPr>
            <w:r>
              <w:rPr>
                <w:rFonts w:hint="eastAsia"/>
              </w:rPr>
              <w:t xml:space="preserve">* </w:t>
            </w:r>
            <w:r w:rsidR="00C76264">
              <w:t xml:space="preserve">The daily average valuation over the previous three months, up to the day before participating in book-building (or the period from the establishment of the entrusted funds to the participation in book-building if less than three months have passed since their establishment) </w:t>
            </w:r>
          </w:p>
        </w:tc>
      </w:tr>
    </w:tbl>
    <w:p w14:paraId="018AE1DF" w14:textId="77777777" w:rsidR="00B81796" w:rsidRDefault="00B81796" w:rsidP="007C21B3">
      <w:pPr>
        <w:spacing w:after="0"/>
      </w:pPr>
    </w:p>
    <w:p w14:paraId="4807CA67" w14:textId="77777777" w:rsidR="00561321" w:rsidRDefault="00106252" w:rsidP="007C21B3">
      <w:pPr>
        <w:spacing w:after="0"/>
      </w:pPr>
      <w:r>
        <w:rPr>
          <w:rFonts w:hint="eastAsia"/>
        </w:rPr>
        <w:t>We commit</w:t>
      </w:r>
      <w:r w:rsidR="00511486">
        <w:t xml:space="preserve"> that</w:t>
      </w:r>
      <w:r w:rsidR="00561321">
        <w:t xml:space="preserve"> if any of the above matters is not true, </w:t>
      </w:r>
      <w:r w:rsidR="002C604F">
        <w:t>we will not take issue with any measures such as designation</w:t>
      </w:r>
      <w:r w:rsidR="00561321">
        <w:t xml:space="preserve"> of our company</w:t>
      </w:r>
      <w:r w:rsidR="002C604F">
        <w:t xml:space="preserve"> as an unfaithful participant in the book-building</w:t>
      </w:r>
      <w:r w:rsidR="00561321">
        <w:t xml:space="preserve"> by the Korea Financial Investment Association </w:t>
      </w:r>
      <w:r w:rsidR="002C604F">
        <w:t>in accordance with</w:t>
      </w:r>
      <w:r w:rsidR="00561321">
        <w:t xml:space="preserve"> [§17-2] of the regulation, and </w:t>
      </w:r>
      <w:r w:rsidR="00511486">
        <w:t xml:space="preserve">we will take full responsibility for all damages that occur as a result of violating the </w:t>
      </w:r>
      <w:r w:rsidR="002C604F">
        <w:t xml:space="preserve">obligation to verify. </w:t>
      </w:r>
    </w:p>
    <w:p w14:paraId="6DECB991" w14:textId="77777777" w:rsidR="00B81796" w:rsidRDefault="00B81796" w:rsidP="007C21B3">
      <w:pPr>
        <w:spacing w:after="0"/>
      </w:pPr>
    </w:p>
    <w:p w14:paraId="2D97E76A" w14:textId="77777777" w:rsidR="00266F41" w:rsidRDefault="00266F41" w:rsidP="007C3F5F">
      <w:pPr>
        <w:spacing w:after="0"/>
        <w:jc w:val="left"/>
      </w:pPr>
    </w:p>
    <w:p w14:paraId="37958B2D" w14:textId="77777777" w:rsidR="007C3F5F" w:rsidRDefault="007C3F5F" w:rsidP="007C3F5F">
      <w:pPr>
        <w:spacing w:after="0"/>
        <w:ind w:right="800" w:firstLineChars="2055" w:firstLine="4110"/>
      </w:pPr>
      <w:r>
        <w:rPr>
          <w:rFonts w:hint="eastAsia"/>
        </w:rPr>
        <w:t>Date:</w:t>
      </w:r>
    </w:p>
    <w:p w14:paraId="7F0903A0" w14:textId="77777777" w:rsidR="007C3F5F" w:rsidRDefault="007C3F5F" w:rsidP="007C3F5F">
      <w:pPr>
        <w:spacing w:after="0"/>
        <w:ind w:right="800" w:firstLineChars="2055" w:firstLine="4110"/>
      </w:pPr>
      <w:r>
        <w:t xml:space="preserve">Name of the Company: </w:t>
      </w:r>
    </w:p>
    <w:p w14:paraId="17DD1FDE" w14:textId="77777777" w:rsidR="00FD03CD" w:rsidRDefault="007C3F5F" w:rsidP="007C3F5F">
      <w:pPr>
        <w:spacing w:after="0"/>
        <w:ind w:right="800" w:firstLineChars="2055" w:firstLine="4110"/>
      </w:pPr>
      <w:r>
        <w:rPr>
          <w:rFonts w:hint="eastAsia"/>
        </w:rPr>
        <w:t>Address</w:t>
      </w:r>
      <w:r w:rsidR="00266F41">
        <w:rPr>
          <w:rFonts w:hint="eastAsia"/>
        </w:rPr>
        <w:t>:</w:t>
      </w:r>
      <w:r>
        <w:t xml:space="preserve"> </w:t>
      </w:r>
    </w:p>
    <w:p w14:paraId="191C3C2D" w14:textId="77777777" w:rsidR="00B81796" w:rsidRDefault="007C3F5F" w:rsidP="007C3F5F">
      <w:pPr>
        <w:spacing w:after="0"/>
        <w:ind w:right="-46" w:firstLineChars="2055" w:firstLine="4110"/>
      </w:pPr>
      <w:r>
        <w:rPr>
          <w:rFonts w:hint="eastAsia"/>
        </w:rPr>
        <w:t>Representative</w:t>
      </w:r>
      <w:r>
        <w:t xml:space="preserve"> Director</w:t>
      </w:r>
      <w:r w:rsidR="00266F41">
        <w:rPr>
          <w:rFonts w:hint="eastAsia"/>
        </w:rPr>
        <w:t>:</w:t>
      </w:r>
      <w:r w:rsidR="00266F41">
        <w:t xml:space="preserve">   </w:t>
      </w:r>
      <w:r>
        <w:t xml:space="preserve">     </w:t>
      </w:r>
      <w:r w:rsidR="00FD03CD">
        <w:t xml:space="preserve"> </w:t>
      </w:r>
      <w:r>
        <w:t xml:space="preserve">    </w:t>
      </w:r>
      <w:r w:rsidR="00C14D15">
        <w:t xml:space="preserve">      </w:t>
      </w:r>
      <w:r>
        <w:t xml:space="preserve">     </w:t>
      </w:r>
      <w:r w:rsidRPr="007C3F5F">
        <w:rPr>
          <w:color w:val="7F7F7F" w:themeColor="text1" w:themeTint="80"/>
        </w:rPr>
        <w:t>(Signature)</w:t>
      </w:r>
    </w:p>
    <w:sectPr w:rsidR="00B81796" w:rsidSect="0006695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4437" w14:textId="77777777" w:rsidR="00600A54" w:rsidRDefault="00600A54" w:rsidP="00600A54">
      <w:pPr>
        <w:spacing w:after="0" w:line="240" w:lineRule="auto"/>
      </w:pPr>
      <w:r>
        <w:separator/>
      </w:r>
    </w:p>
  </w:endnote>
  <w:endnote w:type="continuationSeparator" w:id="0">
    <w:p w14:paraId="70FC3352" w14:textId="77777777" w:rsidR="00600A54" w:rsidRDefault="00600A54" w:rsidP="0060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4A7C" w14:textId="77777777" w:rsidR="00600A54" w:rsidRDefault="00600A54" w:rsidP="00600A54">
      <w:pPr>
        <w:spacing w:after="0" w:line="240" w:lineRule="auto"/>
      </w:pPr>
      <w:r>
        <w:separator/>
      </w:r>
    </w:p>
  </w:footnote>
  <w:footnote w:type="continuationSeparator" w:id="0">
    <w:p w14:paraId="4B77C623" w14:textId="77777777" w:rsidR="00600A54" w:rsidRDefault="00600A54" w:rsidP="0060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0D26"/>
    <w:multiLevelType w:val="hybridMultilevel"/>
    <w:tmpl w:val="8D0EE356"/>
    <w:lvl w:ilvl="0" w:tplc="765648F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B3"/>
    <w:rsid w:val="00066959"/>
    <w:rsid w:val="00090379"/>
    <w:rsid w:val="000B79FF"/>
    <w:rsid w:val="00106252"/>
    <w:rsid w:val="001625C4"/>
    <w:rsid w:val="001A2B1A"/>
    <w:rsid w:val="00215238"/>
    <w:rsid w:val="002666C7"/>
    <w:rsid w:val="00266F41"/>
    <w:rsid w:val="00296833"/>
    <w:rsid w:val="002A3A51"/>
    <w:rsid w:val="002C604F"/>
    <w:rsid w:val="003300B7"/>
    <w:rsid w:val="00337C83"/>
    <w:rsid w:val="00386920"/>
    <w:rsid w:val="00420950"/>
    <w:rsid w:val="00457C91"/>
    <w:rsid w:val="0046516D"/>
    <w:rsid w:val="004D22D5"/>
    <w:rsid w:val="00511486"/>
    <w:rsid w:val="005376ED"/>
    <w:rsid w:val="00561321"/>
    <w:rsid w:val="00600A54"/>
    <w:rsid w:val="0062674B"/>
    <w:rsid w:val="00694442"/>
    <w:rsid w:val="0077294E"/>
    <w:rsid w:val="007C21B3"/>
    <w:rsid w:val="007C3F5F"/>
    <w:rsid w:val="007E612A"/>
    <w:rsid w:val="007E722B"/>
    <w:rsid w:val="007F5E73"/>
    <w:rsid w:val="0083011C"/>
    <w:rsid w:val="0084248A"/>
    <w:rsid w:val="008D2FF3"/>
    <w:rsid w:val="009017C5"/>
    <w:rsid w:val="009525E6"/>
    <w:rsid w:val="00955AA1"/>
    <w:rsid w:val="009F2C5B"/>
    <w:rsid w:val="00A60399"/>
    <w:rsid w:val="00A73708"/>
    <w:rsid w:val="00A75514"/>
    <w:rsid w:val="00AE2811"/>
    <w:rsid w:val="00B74E2E"/>
    <w:rsid w:val="00B81796"/>
    <w:rsid w:val="00BC3A25"/>
    <w:rsid w:val="00C14D15"/>
    <w:rsid w:val="00C76264"/>
    <w:rsid w:val="00CC1E96"/>
    <w:rsid w:val="00CD6886"/>
    <w:rsid w:val="00D0187B"/>
    <w:rsid w:val="00D377AF"/>
    <w:rsid w:val="00D74655"/>
    <w:rsid w:val="00DF0CF4"/>
    <w:rsid w:val="00E21BA8"/>
    <w:rsid w:val="00E6776D"/>
    <w:rsid w:val="00EC042B"/>
    <w:rsid w:val="00ED34B8"/>
    <w:rsid w:val="00F21AA9"/>
    <w:rsid w:val="00F24B49"/>
    <w:rsid w:val="00FA013A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886AFF"/>
  <w15:chartTrackingRefBased/>
  <w15:docId w15:val="{159191E6-3118-47AC-9F33-CF4F4E73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6"/>
    <w:pPr>
      <w:ind w:leftChars="400" w:left="800"/>
    </w:pPr>
  </w:style>
  <w:style w:type="table" w:styleId="a4">
    <w:name w:val="Table Grid"/>
    <w:basedOn w:val="a1"/>
    <w:uiPriority w:val="39"/>
    <w:rsid w:val="00B8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00A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0A54"/>
  </w:style>
  <w:style w:type="paragraph" w:styleId="a6">
    <w:name w:val="footer"/>
    <w:basedOn w:val="a"/>
    <w:link w:val="Char0"/>
    <w:uiPriority w:val="99"/>
    <w:unhideWhenUsed/>
    <w:rsid w:val="00600A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YSK</cp:lastModifiedBy>
  <cp:revision>2</cp:revision>
  <dcterms:created xsi:type="dcterms:W3CDTF">2024-04-04T02:17:00Z</dcterms:created>
  <dcterms:modified xsi:type="dcterms:W3CDTF">2024-04-04T02:17:00Z</dcterms:modified>
</cp:coreProperties>
</file>